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DB40D" w14:textId="3838A801" w:rsidR="00CB1FDF" w:rsidRPr="005C634E" w:rsidRDefault="005C634E" w:rsidP="005C634E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5C634E">
        <w:rPr>
          <w:rFonts w:ascii="微軟正黑體" w:eastAsia="微軟正黑體" w:hAnsi="微軟正黑體" w:hint="eastAsia"/>
          <w:b/>
          <w:bCs/>
          <w:sz w:val="36"/>
          <w:szCs w:val="36"/>
        </w:rPr>
        <w:t>東海大學數位創新碩士學位學程</w:t>
      </w:r>
    </w:p>
    <w:p w14:paraId="7091F65E" w14:textId="71C4AA0C" w:rsidR="005C634E" w:rsidRPr="005C634E" w:rsidRDefault="005C634E" w:rsidP="005C634E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5C634E">
        <w:rPr>
          <w:rFonts w:ascii="微軟正黑體" w:eastAsia="微軟正黑體" w:hAnsi="微軟正黑體" w:hint="eastAsia"/>
          <w:b/>
          <w:bCs/>
          <w:sz w:val="36"/>
          <w:szCs w:val="36"/>
        </w:rPr>
        <w:t>論文口試申請表</w:t>
      </w:r>
    </w:p>
    <w:tbl>
      <w:tblPr>
        <w:tblStyle w:val="a3"/>
        <w:tblW w:w="9214" w:type="dxa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5675"/>
      </w:tblGrid>
      <w:tr w:rsidR="005C634E" w:rsidRPr="005C634E" w14:paraId="75FD8D42" w14:textId="77777777" w:rsidTr="00132BBF">
        <w:trPr>
          <w:jc w:val="center"/>
        </w:trPr>
        <w:tc>
          <w:tcPr>
            <w:tcW w:w="1980" w:type="dxa"/>
          </w:tcPr>
          <w:p w14:paraId="1A845BB4" w14:textId="28AFC642" w:rsidR="005C634E" w:rsidRPr="005C634E" w:rsidRDefault="005C634E" w:rsidP="005C634E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C634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學號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／姓名</w:t>
            </w:r>
          </w:p>
        </w:tc>
        <w:tc>
          <w:tcPr>
            <w:tcW w:w="7234" w:type="dxa"/>
            <w:gridSpan w:val="2"/>
          </w:tcPr>
          <w:p w14:paraId="18E72184" w14:textId="2BB23927" w:rsidR="005C634E" w:rsidRPr="005C634E" w:rsidRDefault="005C634E" w:rsidP="005C634E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5C634E" w:rsidRPr="005C634E" w14:paraId="0FFCC1AA" w14:textId="77777777" w:rsidTr="00EE6AA6">
        <w:trPr>
          <w:trHeight w:val="1934"/>
          <w:jc w:val="center"/>
        </w:trPr>
        <w:tc>
          <w:tcPr>
            <w:tcW w:w="1980" w:type="dxa"/>
            <w:vMerge w:val="restart"/>
            <w:vAlign w:val="center"/>
          </w:tcPr>
          <w:p w14:paraId="051BD5EE" w14:textId="699281C3" w:rsidR="005C634E" w:rsidRPr="005C634E" w:rsidRDefault="005C634E" w:rsidP="00EE6AA6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C634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論文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題目</w:t>
            </w:r>
          </w:p>
        </w:tc>
        <w:tc>
          <w:tcPr>
            <w:tcW w:w="1559" w:type="dxa"/>
            <w:vAlign w:val="center"/>
          </w:tcPr>
          <w:p w14:paraId="17EAC90E" w14:textId="47D02437" w:rsidR="005C634E" w:rsidRPr="005C634E" w:rsidRDefault="005C634E" w:rsidP="00EE6AA6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C634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中文</w:t>
            </w:r>
          </w:p>
        </w:tc>
        <w:tc>
          <w:tcPr>
            <w:tcW w:w="5675" w:type="dxa"/>
          </w:tcPr>
          <w:p w14:paraId="384D7E8D" w14:textId="77777777" w:rsidR="005C634E" w:rsidRPr="005C634E" w:rsidRDefault="005C634E" w:rsidP="005C634E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5C634E" w:rsidRPr="005C634E" w14:paraId="427AF1F6" w14:textId="77777777" w:rsidTr="00EE6AA6">
        <w:trPr>
          <w:trHeight w:val="1820"/>
          <w:jc w:val="center"/>
        </w:trPr>
        <w:tc>
          <w:tcPr>
            <w:tcW w:w="1980" w:type="dxa"/>
            <w:vMerge/>
            <w:vAlign w:val="center"/>
          </w:tcPr>
          <w:p w14:paraId="6E9E5372" w14:textId="77777777" w:rsidR="005C634E" w:rsidRPr="005C634E" w:rsidRDefault="005C634E" w:rsidP="00EE6AA6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AF44190" w14:textId="4F377B01" w:rsidR="005C634E" w:rsidRPr="005C634E" w:rsidRDefault="005C634E" w:rsidP="00EE6AA6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5C634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英文</w:t>
            </w:r>
          </w:p>
        </w:tc>
        <w:tc>
          <w:tcPr>
            <w:tcW w:w="5675" w:type="dxa"/>
          </w:tcPr>
          <w:p w14:paraId="3E64F795" w14:textId="77777777" w:rsidR="005C634E" w:rsidRPr="005C634E" w:rsidRDefault="005C634E" w:rsidP="005C634E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5C634E" w:rsidRPr="005C634E" w14:paraId="6E559F11" w14:textId="77777777" w:rsidTr="00EE6AA6">
        <w:trPr>
          <w:trHeight w:val="2391"/>
          <w:jc w:val="center"/>
        </w:trPr>
        <w:tc>
          <w:tcPr>
            <w:tcW w:w="1980" w:type="dxa"/>
            <w:vAlign w:val="center"/>
          </w:tcPr>
          <w:p w14:paraId="4BE14983" w14:textId="46A20C68" w:rsidR="005C634E" w:rsidRPr="005C634E" w:rsidRDefault="005C634E" w:rsidP="00EE6AA6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需檢核資料</w:t>
            </w:r>
          </w:p>
        </w:tc>
        <w:tc>
          <w:tcPr>
            <w:tcW w:w="7234" w:type="dxa"/>
            <w:gridSpan w:val="2"/>
          </w:tcPr>
          <w:p w14:paraId="56B03899" w14:textId="3C81D40E" w:rsidR="005C634E" w:rsidRDefault="005C634E" w:rsidP="005C634E">
            <w:pPr>
              <w:rPr>
                <w:rFonts w:ascii="Wingdings 2" w:eastAsia="微軟正黑體" w:hAnsi="Wingdings 2"/>
                <w:b/>
                <w:bCs/>
                <w:sz w:val="28"/>
                <w:szCs w:val="28"/>
              </w:rPr>
            </w:pPr>
            <w:r w:rsidRPr="005C634E">
              <w:rPr>
                <w:rFonts w:ascii="Wingdings 2" w:eastAsia="微軟正黑體" w:hAnsi="Wingdings 2"/>
                <w:b/>
                <w:bCs/>
                <w:sz w:val="36"/>
                <w:szCs w:val="36"/>
              </w:rPr>
              <w:t></w:t>
            </w:r>
            <w:r w:rsidRPr="005C634E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歷年成績單</w:t>
            </w:r>
            <w:r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（確認修課學分及成績）</w:t>
            </w:r>
          </w:p>
          <w:p w14:paraId="48086798" w14:textId="77777777" w:rsidR="00467BC8" w:rsidRDefault="005C634E" w:rsidP="00467BC8">
            <w:pPr>
              <w:rPr>
                <w:rFonts w:ascii="Wingdings 2" w:eastAsia="微軟正黑體" w:hAnsi="Wingdings 2"/>
                <w:b/>
                <w:bCs/>
                <w:sz w:val="28"/>
                <w:szCs w:val="28"/>
              </w:rPr>
            </w:pPr>
            <w:r w:rsidRPr="005C634E">
              <w:rPr>
                <w:rFonts w:ascii="Wingdings 2" w:eastAsia="微軟正黑體" w:hAnsi="Wingdings 2"/>
                <w:b/>
                <w:bCs/>
                <w:sz w:val="36"/>
                <w:szCs w:val="36"/>
              </w:rPr>
              <w:t></w:t>
            </w:r>
            <w:r w:rsidR="00DA35C7" w:rsidRPr="00DA35C7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學術倫理教育研習通過證書</w:t>
            </w:r>
          </w:p>
          <w:p w14:paraId="7B7C22EC" w14:textId="057B0F78" w:rsidR="005C634E" w:rsidRDefault="00467BC8" w:rsidP="005C634E">
            <w:pPr>
              <w:rPr>
                <w:rFonts w:ascii="Wingdings 2" w:eastAsia="微軟正黑體" w:hAnsi="Wingdings 2"/>
                <w:b/>
                <w:bCs/>
                <w:sz w:val="28"/>
                <w:szCs w:val="28"/>
              </w:rPr>
            </w:pPr>
            <w:r w:rsidRPr="005C634E">
              <w:rPr>
                <w:rFonts w:ascii="Wingdings 2" w:eastAsia="微軟正黑體" w:hAnsi="Wingdings 2"/>
                <w:b/>
                <w:bCs/>
                <w:sz w:val="36"/>
                <w:szCs w:val="36"/>
              </w:rPr>
              <w:t></w:t>
            </w:r>
            <w:r w:rsidRPr="005C634E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論文初稿</w:t>
            </w:r>
          </w:p>
          <w:p w14:paraId="258EB229" w14:textId="648C2447" w:rsidR="00467BC8" w:rsidRPr="00467BC8" w:rsidRDefault="00467BC8" w:rsidP="005C634E">
            <w:pPr>
              <w:rPr>
                <w:rFonts w:ascii="Wingdings 2" w:eastAsia="微軟正黑體" w:hAnsi="Wingdings 2"/>
                <w:b/>
                <w:bCs/>
                <w:sz w:val="28"/>
                <w:szCs w:val="28"/>
              </w:rPr>
            </w:pPr>
            <w:r w:rsidRPr="005C634E">
              <w:rPr>
                <w:rFonts w:ascii="Wingdings 2" w:eastAsia="微軟正黑體" w:hAnsi="Wingdings 2"/>
                <w:b/>
                <w:bCs/>
                <w:sz w:val="36"/>
                <w:szCs w:val="36"/>
              </w:rPr>
              <w:t></w:t>
            </w:r>
            <w:r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畢業資格認定佐證（參考本學程碩士班修業暨研究生學位考試規定第三條）</w:t>
            </w:r>
            <w:bookmarkStart w:id="0" w:name="_GoBack"/>
            <w:bookmarkEnd w:id="0"/>
          </w:p>
        </w:tc>
      </w:tr>
    </w:tbl>
    <w:p w14:paraId="20BC87F8" w14:textId="452A44CD" w:rsidR="005C634E" w:rsidRDefault="005C634E" w:rsidP="005C634E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2694"/>
        <w:gridCol w:w="3686"/>
        <w:gridCol w:w="2835"/>
      </w:tblGrid>
      <w:tr w:rsidR="00467BC8" w14:paraId="38D0F491" w14:textId="77777777" w:rsidTr="00467BC8">
        <w:tc>
          <w:tcPr>
            <w:tcW w:w="2694" w:type="dxa"/>
          </w:tcPr>
          <w:p w14:paraId="747AAD0D" w14:textId="52102432" w:rsidR="00467BC8" w:rsidRPr="00DA35C7" w:rsidRDefault="00467BC8" w:rsidP="005C634E">
            <w:pPr>
              <w:jc w:val="center"/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指導教授簽名</w:t>
            </w:r>
          </w:p>
        </w:tc>
        <w:tc>
          <w:tcPr>
            <w:tcW w:w="3686" w:type="dxa"/>
          </w:tcPr>
          <w:p w14:paraId="7B424A83" w14:textId="668E19A5" w:rsidR="00467BC8" w:rsidRPr="00DA35C7" w:rsidRDefault="00467BC8" w:rsidP="005C634E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DA35C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審核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結果</w:t>
            </w:r>
          </w:p>
        </w:tc>
        <w:tc>
          <w:tcPr>
            <w:tcW w:w="2835" w:type="dxa"/>
          </w:tcPr>
          <w:p w14:paraId="39317136" w14:textId="377C4CF3" w:rsidR="00467BC8" w:rsidRDefault="00467BC8" w:rsidP="005C634E">
            <w:pPr>
              <w:jc w:val="center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DA35C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系所覆核</w:t>
            </w:r>
          </w:p>
        </w:tc>
      </w:tr>
      <w:tr w:rsidR="00467BC8" w14:paraId="3C23411F" w14:textId="77777777" w:rsidTr="00467BC8">
        <w:trPr>
          <w:trHeight w:val="2872"/>
        </w:trPr>
        <w:tc>
          <w:tcPr>
            <w:tcW w:w="2694" w:type="dxa"/>
          </w:tcPr>
          <w:p w14:paraId="3F16C61F" w14:textId="77777777" w:rsidR="00467BC8" w:rsidRPr="00EE6AA6" w:rsidRDefault="00467BC8" w:rsidP="00DA35C7">
            <w:pPr>
              <w:rPr>
                <w:rFonts w:ascii="Wingdings 2" w:eastAsia="微軟正黑體" w:hAnsi="Wingdings 2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84F4721" w14:textId="214DC1F6" w:rsidR="00467BC8" w:rsidRPr="00EE6AA6" w:rsidRDefault="00467BC8" w:rsidP="00DA35C7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  <w:u w:val="single"/>
              </w:rPr>
            </w:pPr>
            <w:r w:rsidRPr="00EE6AA6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經</w:t>
            </w:r>
            <w:r w:rsidRPr="00EE6AA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EE6AA6">
              <w:rPr>
                <w:rFonts w:ascii="微軟正黑體" w:eastAsia="微軟正黑體" w:hAnsi="微軟正黑體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EE6AA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年</w:t>
            </w:r>
            <w:r w:rsidRPr="00EE6AA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EE6AA6">
              <w:rPr>
                <w:rFonts w:ascii="微軟正黑體" w:eastAsia="微軟正黑體" w:hAnsi="微軟正黑體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EE6AA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EE6AA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學習成效暨</w:t>
            </w:r>
            <w:r w:rsidRPr="00DA35C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畢業門檻委員會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審核</w:t>
            </w:r>
          </w:p>
          <w:p w14:paraId="17942DE8" w14:textId="436C99A6" w:rsidR="00467BC8" w:rsidRDefault="00467BC8" w:rsidP="00DA35C7">
            <w:pPr>
              <w:rPr>
                <w:rFonts w:ascii="Wingdings 2" w:eastAsia="微軟正黑體" w:hAnsi="Wingdings 2"/>
                <w:b/>
                <w:bCs/>
                <w:sz w:val="28"/>
                <w:szCs w:val="28"/>
              </w:rPr>
            </w:pPr>
            <w:r w:rsidRPr="005C634E">
              <w:rPr>
                <w:rFonts w:ascii="Wingdings 2" w:eastAsia="微軟正黑體" w:hAnsi="Wingdings 2"/>
                <w:b/>
                <w:bCs/>
                <w:sz w:val="36"/>
                <w:szCs w:val="36"/>
              </w:rPr>
              <w:t></w:t>
            </w:r>
            <w:r w:rsidRPr="00DA35C7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通過</w:t>
            </w:r>
          </w:p>
          <w:p w14:paraId="4343313F" w14:textId="09BC8541" w:rsidR="00467BC8" w:rsidRPr="00EE6AA6" w:rsidRDefault="00467BC8" w:rsidP="00EE6AA6">
            <w:pPr>
              <w:rPr>
                <w:rFonts w:ascii="Wingdings 2" w:eastAsia="微軟正黑體" w:hAnsi="Wingdings 2"/>
                <w:b/>
                <w:bCs/>
                <w:sz w:val="36"/>
                <w:szCs w:val="36"/>
              </w:rPr>
            </w:pPr>
            <w:r w:rsidRPr="005C634E">
              <w:rPr>
                <w:rFonts w:ascii="Wingdings 2" w:eastAsia="微軟正黑體" w:hAnsi="Wingdings 2"/>
                <w:b/>
                <w:bCs/>
                <w:sz w:val="36"/>
                <w:szCs w:val="36"/>
              </w:rPr>
              <w:t></w:t>
            </w:r>
            <w:r w:rsidRPr="00DA35C7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不通</w:t>
            </w:r>
            <w:r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過；</w:t>
            </w:r>
            <w:r w:rsidRPr="00DA35C7">
              <w:rPr>
                <w:rFonts w:ascii="Wingdings 2" w:eastAsia="微軟正黑體" w:hAnsi="Wingdings 2" w:hint="eastAsia"/>
                <w:b/>
                <w:bCs/>
                <w:sz w:val="28"/>
                <w:szCs w:val="28"/>
              </w:rPr>
              <w:t>原因：</w:t>
            </w:r>
          </w:p>
        </w:tc>
        <w:tc>
          <w:tcPr>
            <w:tcW w:w="2835" w:type="dxa"/>
          </w:tcPr>
          <w:p w14:paraId="03C51E2C" w14:textId="77777777" w:rsidR="00467BC8" w:rsidRDefault="00467BC8" w:rsidP="005C634E">
            <w:pPr>
              <w:jc w:val="center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</w:p>
        </w:tc>
      </w:tr>
    </w:tbl>
    <w:p w14:paraId="18263630" w14:textId="77777777" w:rsidR="00467BC8" w:rsidRPr="00467BC8" w:rsidRDefault="00467BC8" w:rsidP="00467BC8">
      <w:pPr>
        <w:widowControl/>
        <w:shd w:val="clear" w:color="auto" w:fill="FFFFFF"/>
        <w:spacing w:line="360" w:lineRule="atLeast"/>
        <w:jc w:val="center"/>
        <w:textAlignment w:val="baseline"/>
        <w:rPr>
          <w:rFonts w:ascii="新細明體" w:eastAsia="新細明體" w:hAnsi="Kaiti TC" w:cs="Arial"/>
          <w:b/>
          <w:bCs/>
          <w:color w:val="1E1E1E"/>
          <w:kern w:val="0"/>
          <w:bdr w:val="none" w:sz="0" w:space="0" w:color="auto" w:frame="1"/>
        </w:rPr>
      </w:pPr>
      <w:r w:rsidRPr="00467BC8">
        <w:rPr>
          <w:rFonts w:ascii="新細明體" w:eastAsia="新細明體" w:hAnsi="Kaiti TC" w:cs="Arial" w:hint="eastAsia"/>
          <w:b/>
          <w:bCs/>
          <w:color w:val="1E1E1E"/>
          <w:kern w:val="0"/>
          <w:bdr w:val="none" w:sz="0" w:space="0" w:color="auto" w:frame="1"/>
        </w:rPr>
        <w:lastRenderedPageBreak/>
        <w:t xml:space="preserve">東海大學數位創新碩士學位學程 </w:t>
      </w:r>
      <w:r w:rsidRPr="00467BC8">
        <w:rPr>
          <w:rFonts w:ascii="新細明體" w:eastAsia="新細明體" w:hAnsi="Kaiti TC" w:cs="Arial" w:hint="eastAsia"/>
          <w:b/>
          <w:bCs/>
          <w:color w:val="000000"/>
          <w:kern w:val="0"/>
          <w:bdr w:val="none" w:sz="0" w:space="0" w:color="auto" w:frame="1"/>
        </w:rPr>
        <w:t>碩士班修業暨研究生學位考試規定</w:t>
      </w:r>
    </w:p>
    <w:p w14:paraId="0CF98F5B" w14:textId="77777777" w:rsidR="00467BC8" w:rsidRPr="00467BC8" w:rsidRDefault="00467BC8" w:rsidP="00467BC8">
      <w:pPr>
        <w:widowControl/>
        <w:jc w:val="right"/>
        <w:rPr>
          <w:rFonts w:ascii="新細明體" w:eastAsia="新細明體" w:hAnsi="Kaiti TC" w:cs="MS Mincho"/>
          <w:kern w:val="0"/>
        </w:rPr>
      </w:pPr>
      <w:r w:rsidRPr="00467BC8">
        <w:rPr>
          <w:rFonts w:ascii="新細明體" w:eastAsia="新細明體" w:hAnsi="Kaiti TC" w:cs="MS Mincho" w:hint="eastAsia"/>
          <w:kern w:val="0"/>
        </w:rPr>
        <w:t>中華民國</w:t>
      </w:r>
      <w:r w:rsidRPr="00467BC8">
        <w:rPr>
          <w:rFonts w:ascii="新細明體" w:eastAsia="新細明體" w:hAnsi="Kaiti TC" w:cs="MS Mincho"/>
          <w:kern w:val="0"/>
        </w:rPr>
        <w:t>110</w:t>
      </w:r>
      <w:r w:rsidRPr="00467BC8">
        <w:rPr>
          <w:rFonts w:ascii="新細明體" w:eastAsia="新細明體" w:hAnsi="Kaiti TC" w:cs="MS Mincho" w:hint="eastAsia"/>
          <w:kern w:val="0"/>
        </w:rPr>
        <w:t>年</w:t>
      </w:r>
      <w:r w:rsidRPr="00467BC8">
        <w:rPr>
          <w:rFonts w:ascii="新細明體" w:eastAsia="新細明體" w:hAnsi="Kaiti TC" w:cs="MS Mincho"/>
          <w:kern w:val="0"/>
        </w:rPr>
        <w:t>3</w:t>
      </w:r>
      <w:r w:rsidRPr="00467BC8">
        <w:rPr>
          <w:rFonts w:ascii="新細明體" w:eastAsia="新細明體" w:hAnsi="Kaiti TC" w:cs="MS Mincho" w:hint="eastAsia"/>
          <w:kern w:val="0"/>
        </w:rPr>
        <w:t>月</w:t>
      </w:r>
      <w:r w:rsidRPr="00467BC8">
        <w:rPr>
          <w:rFonts w:ascii="新細明體" w:eastAsia="新細明體" w:hAnsi="Kaiti TC" w:cs="MS Mincho"/>
          <w:kern w:val="0"/>
        </w:rPr>
        <w:t>15</w:t>
      </w:r>
      <w:r w:rsidRPr="00467BC8">
        <w:rPr>
          <w:rFonts w:ascii="新細明體" w:eastAsia="新細明體" w:hAnsi="Kaiti TC" w:cs="MS Mincho" w:hint="eastAsia"/>
          <w:kern w:val="0"/>
        </w:rPr>
        <w:t>日</w:t>
      </w:r>
      <w:r w:rsidRPr="00467BC8">
        <w:rPr>
          <w:rFonts w:ascii="新細明體" w:eastAsia="新細明體" w:hAnsi="Kaiti TC" w:cs="Times New Roman" w:hint="eastAsia"/>
          <w:kern w:val="0"/>
        </w:rPr>
        <w:t xml:space="preserve"> 學程</w:t>
      </w:r>
      <w:r w:rsidRPr="00467BC8">
        <w:rPr>
          <w:rFonts w:ascii="新細明體" w:eastAsia="新細明體" w:hAnsi="Kaiti TC" w:cs="MS Mincho" w:hint="eastAsia"/>
          <w:kern w:val="0"/>
        </w:rPr>
        <w:t>會議通過</w:t>
      </w:r>
    </w:p>
    <w:p w14:paraId="5CFD4736" w14:textId="77777777" w:rsidR="00467BC8" w:rsidRPr="00467BC8" w:rsidRDefault="00467BC8" w:rsidP="00467BC8">
      <w:pPr>
        <w:widowControl/>
        <w:jc w:val="right"/>
        <w:rPr>
          <w:rFonts w:ascii="新細明體" w:eastAsia="新細明體" w:hAnsi="Kaiti TC" w:cs="MS Mincho"/>
          <w:kern w:val="0"/>
        </w:rPr>
      </w:pPr>
      <w:r w:rsidRPr="00467BC8">
        <w:rPr>
          <w:rFonts w:ascii="新細明體" w:eastAsia="新細明體" w:hAnsi="Kaiti TC" w:cs="MS Mincho" w:hint="eastAsia"/>
          <w:kern w:val="0"/>
        </w:rPr>
        <w:t>中華民國</w:t>
      </w:r>
      <w:r w:rsidRPr="00467BC8">
        <w:rPr>
          <w:rFonts w:ascii="新細明體" w:eastAsia="新細明體" w:hAnsi="Kaiti TC" w:cs="MS Mincho"/>
          <w:kern w:val="0"/>
        </w:rPr>
        <w:t>110</w:t>
      </w:r>
      <w:r w:rsidRPr="00467BC8">
        <w:rPr>
          <w:rFonts w:ascii="新細明體" w:eastAsia="新細明體" w:hAnsi="Kaiti TC" w:cs="MS Mincho" w:hint="eastAsia"/>
          <w:kern w:val="0"/>
        </w:rPr>
        <w:t>年</w:t>
      </w:r>
      <w:r w:rsidRPr="00467BC8">
        <w:rPr>
          <w:rFonts w:ascii="新細明體" w:eastAsia="新細明體" w:hAnsi="Kaiti TC" w:cs="MS Mincho"/>
          <w:kern w:val="0"/>
        </w:rPr>
        <w:t>3</w:t>
      </w:r>
      <w:r w:rsidRPr="00467BC8">
        <w:rPr>
          <w:rFonts w:ascii="新細明體" w:eastAsia="新細明體" w:hAnsi="Kaiti TC" w:cs="MS Mincho" w:hint="eastAsia"/>
          <w:kern w:val="0"/>
        </w:rPr>
        <w:t>月</w:t>
      </w:r>
      <w:r w:rsidRPr="00467BC8">
        <w:rPr>
          <w:rFonts w:ascii="新細明體" w:eastAsia="新細明體" w:hAnsi="Kaiti TC" w:cs="MS Mincho"/>
          <w:kern w:val="0"/>
        </w:rPr>
        <w:t>17</w:t>
      </w:r>
      <w:r w:rsidRPr="00467BC8">
        <w:rPr>
          <w:rFonts w:ascii="新細明體" w:eastAsia="新細明體" w:hAnsi="Kaiti TC" w:cs="MS Mincho" w:hint="eastAsia"/>
          <w:kern w:val="0"/>
        </w:rPr>
        <w:t>日</w:t>
      </w:r>
      <w:r w:rsidRPr="00467BC8">
        <w:rPr>
          <w:rFonts w:ascii="新細明體" w:eastAsia="新細明體" w:hAnsi="Kaiti TC" w:cs="Times New Roman" w:hint="eastAsia"/>
          <w:kern w:val="0"/>
        </w:rPr>
        <w:t xml:space="preserve"> 院</w:t>
      </w:r>
      <w:proofErr w:type="gramStart"/>
      <w:r w:rsidRPr="00467BC8">
        <w:rPr>
          <w:rFonts w:ascii="新細明體" w:eastAsia="新細明體" w:hAnsi="Kaiti TC" w:cs="MS Mincho" w:hint="eastAsia"/>
          <w:kern w:val="0"/>
        </w:rPr>
        <w:t>務</w:t>
      </w:r>
      <w:proofErr w:type="gramEnd"/>
      <w:r w:rsidRPr="00467BC8">
        <w:rPr>
          <w:rFonts w:ascii="新細明體" w:eastAsia="新細明體" w:hAnsi="Kaiti TC" w:cs="MS Mincho" w:hint="eastAsia"/>
          <w:kern w:val="0"/>
        </w:rPr>
        <w:t>會議通過</w:t>
      </w:r>
    </w:p>
    <w:p w14:paraId="7BA1C272" w14:textId="77777777" w:rsidR="00467BC8" w:rsidRPr="00467BC8" w:rsidRDefault="00467BC8" w:rsidP="00467BC8">
      <w:pPr>
        <w:widowControl/>
        <w:jc w:val="right"/>
        <w:rPr>
          <w:rFonts w:ascii="新細明體" w:eastAsia="新細明體" w:hAnsi="Kaiti TC" w:cs="MS Mincho"/>
          <w:kern w:val="0"/>
        </w:rPr>
      </w:pPr>
    </w:p>
    <w:p w14:paraId="07AD9BD5" w14:textId="77777777" w:rsidR="00467BC8" w:rsidRPr="00467BC8" w:rsidRDefault="00467BC8" w:rsidP="00467BC8">
      <w:pPr>
        <w:widowControl/>
        <w:shd w:val="clear" w:color="auto" w:fill="FFFFFF"/>
        <w:spacing w:line="360" w:lineRule="atLeast"/>
        <w:textAlignment w:val="baseline"/>
        <w:rPr>
          <w:rFonts w:ascii="新細明體" w:eastAsia="新細明體" w:hAnsi="Kaiti TC" w:cs="Arial"/>
          <w:b/>
          <w:bCs/>
          <w:color w:val="1E1E1E"/>
          <w:kern w:val="0"/>
          <w:bdr w:val="none" w:sz="0" w:space="0" w:color="auto" w:frame="1"/>
        </w:rPr>
      </w:pPr>
    </w:p>
    <w:p w14:paraId="2A3FFD24" w14:textId="77777777" w:rsidR="00467BC8" w:rsidRPr="00467BC8" w:rsidRDefault="00467BC8" w:rsidP="00467BC8">
      <w:pPr>
        <w:widowControl/>
        <w:numPr>
          <w:ilvl w:val="0"/>
          <w:numId w:val="1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東海大學數位創新碩士學位學程(以下簡稱本學程)碩士班修業暨研究生</w:t>
      </w:r>
    </w:p>
    <w:p w14:paraId="73DF21D8" w14:textId="77777777" w:rsidR="00467BC8" w:rsidRPr="00467BC8" w:rsidRDefault="00467BC8" w:rsidP="00467BC8">
      <w:pPr>
        <w:widowControl/>
        <w:shd w:val="clear" w:color="auto" w:fill="FFFFFF"/>
        <w:ind w:left="840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學位考試規定(以下簡稱本規定)依東海大學「學位授予暨研究生學位考試辦法」訂定之。</w:t>
      </w:r>
    </w:p>
    <w:p w14:paraId="52225E84" w14:textId="77777777" w:rsidR="00467BC8" w:rsidRPr="00467BC8" w:rsidRDefault="00467BC8" w:rsidP="00467BC8">
      <w:pPr>
        <w:widowControl/>
        <w:numPr>
          <w:ilvl w:val="0"/>
          <w:numId w:val="1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修習課程及學分</w:t>
      </w:r>
    </w:p>
    <w:p w14:paraId="0B90E252" w14:textId="77777777" w:rsidR="00467BC8" w:rsidRPr="00467BC8" w:rsidRDefault="00467BC8" w:rsidP="00467BC8">
      <w:pPr>
        <w:widowControl/>
        <w:shd w:val="clear" w:color="auto" w:fill="FFFFFF"/>
        <w:ind w:left="840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本學程研究生學期成績，採用百分計分法，成績七十分為及格。</w:t>
      </w:r>
    </w:p>
    <w:p w14:paraId="50471AA3" w14:textId="77777777" w:rsidR="00467BC8" w:rsidRPr="00467BC8" w:rsidRDefault="00467BC8" w:rsidP="00467BC8">
      <w:pPr>
        <w:widowControl/>
        <w:shd w:val="clear" w:color="auto" w:fill="FFFFFF"/>
        <w:ind w:left="840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畢業學生必須修滿32學分 (含必修課程</w:t>
      </w:r>
      <w:r w:rsidRPr="00467BC8">
        <w:rPr>
          <w:rFonts w:ascii="新細明體" w:eastAsia="新細明體" w:hAnsi="Kaiti TC" w:cs="Arial"/>
          <w:color w:val="000000"/>
          <w:kern w:val="0"/>
        </w:rPr>
        <w:t>10</w:t>
      </w:r>
      <w:r w:rsidRPr="00467BC8">
        <w:rPr>
          <w:rFonts w:ascii="新細明體" w:eastAsia="新細明體" w:hAnsi="Kaiti TC" w:cs="Arial" w:hint="eastAsia"/>
          <w:color w:val="000000"/>
          <w:kern w:val="0"/>
        </w:rPr>
        <w:t>學分、設計論文6學分、系上選修課程</w:t>
      </w:r>
      <w:r w:rsidRPr="00467BC8">
        <w:rPr>
          <w:rFonts w:ascii="新細明體" w:eastAsia="新細明體" w:hAnsi="Kaiti TC" w:cs="Arial"/>
          <w:color w:val="000000"/>
          <w:kern w:val="0"/>
        </w:rPr>
        <w:t>16</w:t>
      </w:r>
      <w:r w:rsidRPr="00467BC8">
        <w:rPr>
          <w:rFonts w:ascii="新細明體" w:eastAsia="新細明體" w:hAnsi="Kaiti TC" w:cs="Arial" w:hint="eastAsia"/>
          <w:color w:val="000000"/>
          <w:kern w:val="0"/>
        </w:rPr>
        <w:t>學分)。</w:t>
      </w:r>
    </w:p>
    <w:p w14:paraId="52D5B78E" w14:textId="77777777" w:rsidR="00467BC8" w:rsidRPr="00467BC8" w:rsidRDefault="00467BC8" w:rsidP="00467BC8">
      <w:pPr>
        <w:widowControl/>
        <w:shd w:val="clear" w:color="auto" w:fill="FFFFFF"/>
        <w:ind w:left="840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研究生因研究需要，經指導教授同意後，得在校內其他研究所修習相關課程，所修習及格之學分可抵免本碩士班之學分，惟以6學分為限。</w:t>
      </w:r>
    </w:p>
    <w:p w14:paraId="6BEFA258" w14:textId="77777777" w:rsidR="00467BC8" w:rsidRPr="00467BC8" w:rsidRDefault="00467BC8" w:rsidP="00467BC8">
      <w:pPr>
        <w:widowControl/>
        <w:numPr>
          <w:ilvl w:val="0"/>
          <w:numId w:val="1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畢業資格認定</w:t>
      </w:r>
    </w:p>
    <w:p w14:paraId="6333E90D" w14:textId="77777777" w:rsidR="00467BC8" w:rsidRPr="00467BC8" w:rsidRDefault="00467BC8" w:rsidP="00467BC8">
      <w:pPr>
        <w:widowControl/>
        <w:shd w:val="clear" w:color="auto" w:fill="FFFFFF"/>
        <w:ind w:left="840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畢業學生</w:t>
      </w:r>
      <w:proofErr w:type="gramStart"/>
      <w:r w:rsidRPr="00467BC8">
        <w:rPr>
          <w:rFonts w:ascii="新細明體" w:eastAsia="新細明體" w:hAnsi="Kaiti TC" w:cs="Arial" w:hint="eastAsia"/>
          <w:color w:val="000000"/>
          <w:kern w:val="0"/>
        </w:rPr>
        <w:t>除修習必</w:t>
      </w:r>
      <w:proofErr w:type="gramEnd"/>
      <w:r w:rsidRPr="00467BC8">
        <w:rPr>
          <w:rFonts w:ascii="新細明體" w:eastAsia="新細明體" w:hAnsi="Kaiti TC" w:cs="Arial" w:hint="eastAsia"/>
          <w:color w:val="000000"/>
          <w:kern w:val="0"/>
        </w:rPr>
        <w:t>、選修課程外，均必須於論文口試提報前完成研究論文、設計</w:t>
      </w:r>
      <w:proofErr w:type="gramStart"/>
      <w:r w:rsidRPr="00467BC8">
        <w:rPr>
          <w:rFonts w:ascii="新細明體" w:eastAsia="新細明體" w:hAnsi="Kaiti TC" w:cs="Arial" w:hint="eastAsia"/>
          <w:color w:val="000000"/>
          <w:kern w:val="0"/>
        </w:rPr>
        <w:t>創作或募資</w:t>
      </w:r>
      <w:proofErr w:type="gramEnd"/>
      <w:r w:rsidRPr="00467BC8">
        <w:rPr>
          <w:rFonts w:ascii="新細明體" w:eastAsia="新細明體" w:hAnsi="Kaiti TC" w:cs="Arial" w:hint="eastAsia"/>
          <w:color w:val="000000"/>
          <w:kern w:val="0"/>
        </w:rPr>
        <w:t>創業三項學術成就之一項，三</w:t>
      </w:r>
      <w:proofErr w:type="gramStart"/>
      <w:r w:rsidRPr="00467BC8">
        <w:rPr>
          <w:rFonts w:ascii="新細明體" w:eastAsia="新細明體" w:hAnsi="Kaiti TC" w:cs="Arial" w:hint="eastAsia"/>
          <w:color w:val="000000"/>
          <w:kern w:val="0"/>
        </w:rPr>
        <w:t>者均需經過</w:t>
      </w:r>
      <w:proofErr w:type="gramEnd"/>
      <w:r w:rsidRPr="00467BC8">
        <w:rPr>
          <w:rFonts w:ascii="新細明體" w:eastAsia="新細明體" w:hAnsi="Kaiti TC" w:cs="Arial" w:hint="eastAsia"/>
          <w:color w:val="000000"/>
          <w:kern w:val="0"/>
        </w:rPr>
        <w:t>口試，由碩士學位考試委員認可通過方得畢業。</w:t>
      </w:r>
    </w:p>
    <w:p w14:paraId="598084E4" w14:textId="77777777" w:rsidR="00467BC8" w:rsidRPr="00467BC8" w:rsidRDefault="00467BC8" w:rsidP="00467BC8">
      <w:pPr>
        <w:widowControl/>
        <w:numPr>
          <w:ilvl w:val="0"/>
          <w:numId w:val="2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撰寫學術研究論文：</w:t>
      </w:r>
    </w:p>
    <w:p w14:paraId="3277119F" w14:textId="77777777" w:rsidR="00467BC8" w:rsidRPr="00467BC8" w:rsidRDefault="00467BC8" w:rsidP="00467BC8">
      <w:pPr>
        <w:widowControl/>
        <w:shd w:val="clear" w:color="auto" w:fill="FFFFFF"/>
        <w:ind w:left="1320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投稿期刊論文（請提出投稿及審查或刊登證明）或親自發表國內外研討會論文（需具審查制度），至少</w:t>
      </w:r>
      <w:r w:rsidRPr="00467BC8">
        <w:rPr>
          <w:rFonts w:ascii="新細明體" w:eastAsia="新細明體" w:hAnsi="Kaiti TC" w:cs="Arial"/>
          <w:color w:val="000000"/>
          <w:kern w:val="0"/>
        </w:rPr>
        <w:t>1</w:t>
      </w:r>
      <w:r w:rsidRPr="00467BC8">
        <w:rPr>
          <w:rFonts w:ascii="新細明體" w:eastAsia="新細明體" w:hAnsi="Kaiti TC" w:cs="Arial" w:hint="eastAsia"/>
          <w:color w:val="000000"/>
          <w:kern w:val="0"/>
        </w:rPr>
        <w:t>篇。畢業論文須通過碩士學位考試委員審核。</w:t>
      </w:r>
    </w:p>
    <w:p w14:paraId="1CEBBEBB" w14:textId="77777777" w:rsidR="00467BC8" w:rsidRPr="00467BC8" w:rsidRDefault="00467BC8" w:rsidP="00467BC8">
      <w:pPr>
        <w:widowControl/>
        <w:numPr>
          <w:ilvl w:val="0"/>
          <w:numId w:val="2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創作設計：</w:t>
      </w:r>
    </w:p>
    <w:p w14:paraId="1B00C7BB" w14:textId="77777777" w:rsidR="00467BC8" w:rsidRPr="00467BC8" w:rsidRDefault="00467BC8" w:rsidP="00467BC8">
      <w:pPr>
        <w:widowControl/>
        <w:shd w:val="clear" w:color="auto" w:fill="FFFFFF"/>
        <w:ind w:left="1320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以設計創作申請學位者，需於修業期間完成公開展演，設計論文須通過碩士學位考試委員審核。</w:t>
      </w:r>
    </w:p>
    <w:p w14:paraId="07FB0277" w14:textId="77777777" w:rsidR="00467BC8" w:rsidRPr="00467BC8" w:rsidRDefault="00467BC8" w:rsidP="00467BC8">
      <w:pPr>
        <w:widowControl/>
        <w:numPr>
          <w:ilvl w:val="0"/>
          <w:numId w:val="2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strike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募資創業：</w:t>
      </w:r>
    </w:p>
    <w:p w14:paraId="439A452E" w14:textId="77777777" w:rsidR="00467BC8" w:rsidRPr="00467BC8" w:rsidRDefault="00467BC8" w:rsidP="00467BC8">
      <w:pPr>
        <w:widowControl/>
        <w:shd w:val="clear" w:color="auto" w:fill="FFFFFF"/>
        <w:ind w:left="1320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募資門檻需經指導教授及所</w:t>
      </w:r>
      <w:proofErr w:type="gramStart"/>
      <w:r w:rsidRPr="00467BC8">
        <w:rPr>
          <w:rFonts w:ascii="新細明體" w:eastAsia="新細明體" w:hAnsi="Kaiti TC" w:cs="Arial" w:hint="eastAsia"/>
          <w:color w:val="000000"/>
          <w:kern w:val="0"/>
        </w:rPr>
        <w:t>務</w:t>
      </w:r>
      <w:proofErr w:type="gramEnd"/>
      <w:r w:rsidRPr="00467BC8">
        <w:rPr>
          <w:rFonts w:ascii="新細明體" w:eastAsia="新細明體" w:hAnsi="Kaiti TC" w:cs="Arial" w:hint="eastAsia"/>
          <w:color w:val="000000"/>
          <w:kern w:val="0"/>
        </w:rPr>
        <w:t>會議同意</w:t>
      </w:r>
      <w:bookmarkStart w:id="1" w:name="OLE_LINK1"/>
      <w:bookmarkStart w:id="2" w:name="OLE_LINK2"/>
      <w:r w:rsidRPr="00467BC8">
        <w:rPr>
          <w:rFonts w:ascii="新細明體" w:eastAsia="新細明體" w:hAnsi="Kaiti TC" w:cs="Arial" w:hint="eastAsia"/>
          <w:color w:val="000000"/>
          <w:kern w:val="0"/>
        </w:rPr>
        <w:t>，</w:t>
      </w:r>
      <w:bookmarkEnd w:id="1"/>
      <w:bookmarkEnd w:id="2"/>
      <w:r w:rsidRPr="00467BC8">
        <w:rPr>
          <w:rFonts w:ascii="新細明體" w:eastAsia="新細明體" w:hAnsi="Kaiti TC" w:cs="Arial" w:hint="eastAsia"/>
          <w:color w:val="000000"/>
          <w:kern w:val="0"/>
        </w:rPr>
        <w:t>論文須通過碩士學位考試委員審核。</w:t>
      </w:r>
    </w:p>
    <w:p w14:paraId="105CC729" w14:textId="77777777" w:rsidR="00467BC8" w:rsidRPr="00467BC8" w:rsidRDefault="00467BC8" w:rsidP="00467BC8">
      <w:pPr>
        <w:widowControl/>
        <w:numPr>
          <w:ilvl w:val="0"/>
          <w:numId w:val="1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論文口試</w:t>
      </w:r>
    </w:p>
    <w:p w14:paraId="52513461" w14:textId="77777777" w:rsidR="00467BC8" w:rsidRPr="00467BC8" w:rsidRDefault="00467BC8" w:rsidP="00467BC8">
      <w:pPr>
        <w:widowControl/>
        <w:shd w:val="clear" w:color="auto" w:fill="FFFFFF"/>
        <w:ind w:left="840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研究生於修畢規定學分，並取得指導教授同意申請參加學位考試後，檢具歷年成績單、論文初稿、論文口試申請書、學術研究倫理教育研習通過證書，經本學程學生學習成效暨畢業門檻委員會審查通過後，方可依學校規定流程申請學位考試。</w:t>
      </w:r>
    </w:p>
    <w:p w14:paraId="105347D4" w14:textId="77777777" w:rsidR="00467BC8" w:rsidRPr="00467BC8" w:rsidRDefault="00467BC8" w:rsidP="00467BC8">
      <w:pPr>
        <w:widowControl/>
        <w:numPr>
          <w:ilvl w:val="0"/>
          <w:numId w:val="3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碩士學位考試委員會由校內外學者專家三至五人組成，其中校外委員須三分之一以上（含），由系主任報請校長聘請之，並由系主任指定</w:t>
      </w:r>
      <w:proofErr w:type="gramStart"/>
      <w:r w:rsidRPr="00467BC8">
        <w:rPr>
          <w:rFonts w:ascii="新細明體" w:eastAsia="新細明體" w:hAnsi="Kaiti TC" w:cs="Arial" w:hint="eastAsia"/>
          <w:color w:val="000000"/>
          <w:kern w:val="0"/>
        </w:rPr>
        <w:t>一</w:t>
      </w:r>
      <w:proofErr w:type="gramEnd"/>
      <w:r w:rsidRPr="00467BC8">
        <w:rPr>
          <w:rFonts w:ascii="新細明體" w:eastAsia="新細明體" w:hAnsi="Kaiti TC" w:cs="Arial" w:hint="eastAsia"/>
          <w:color w:val="000000"/>
          <w:kern w:val="0"/>
        </w:rPr>
        <w:t>人為召集人，但指導教授不得擔任召集人。</w:t>
      </w:r>
    </w:p>
    <w:p w14:paraId="65F75AA4" w14:textId="77777777" w:rsidR="00467BC8" w:rsidRPr="00467BC8" w:rsidRDefault="00467BC8" w:rsidP="00467BC8">
      <w:pPr>
        <w:widowControl/>
        <w:numPr>
          <w:ilvl w:val="0"/>
          <w:numId w:val="3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lastRenderedPageBreak/>
        <w:t>學位考試成績以七十分為及格，一百分為滿分，並以出席委員評定分數平均決定之。論文有抄襲或舞弊情事，經學生學習成效暨畢業門檻委員會確定者，以不及格論。</w:t>
      </w:r>
    </w:p>
    <w:p w14:paraId="5D5D427B" w14:textId="77777777" w:rsidR="00467BC8" w:rsidRPr="00467BC8" w:rsidRDefault="00467BC8" w:rsidP="00467BC8">
      <w:pPr>
        <w:widowControl/>
        <w:numPr>
          <w:ilvl w:val="0"/>
          <w:numId w:val="3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學位考試成績不及格，其修業年限尚未屆滿者，得於次學期或次學年重考，重考以一次為限；重考成績仍不及格者，應予退學。</w:t>
      </w:r>
    </w:p>
    <w:p w14:paraId="5DCC6104" w14:textId="77777777" w:rsidR="00467BC8" w:rsidRPr="00467BC8" w:rsidRDefault="00467BC8" w:rsidP="00467BC8">
      <w:pPr>
        <w:widowControl/>
        <w:numPr>
          <w:ilvl w:val="0"/>
          <w:numId w:val="3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研究生學位論文</w:t>
      </w:r>
      <w:proofErr w:type="gramStart"/>
      <w:r w:rsidRPr="00467BC8">
        <w:rPr>
          <w:rFonts w:ascii="新細明體" w:eastAsia="新細明體" w:hAnsi="Kaiti TC" w:cs="Arial" w:hint="eastAsia"/>
          <w:color w:val="000000"/>
          <w:kern w:val="0"/>
        </w:rPr>
        <w:t>未符系所</w:t>
      </w:r>
      <w:proofErr w:type="gramEnd"/>
      <w:r w:rsidRPr="00467BC8">
        <w:rPr>
          <w:rFonts w:ascii="新細明體" w:eastAsia="新細明體" w:hAnsi="Kaiti TC" w:cs="Arial" w:hint="eastAsia"/>
          <w:color w:val="000000"/>
          <w:kern w:val="0"/>
        </w:rPr>
        <w:t>專業之檢舉案，經檢核確立時，由主任招開學程會議討論其指導教授</w:t>
      </w:r>
      <w:proofErr w:type="gramStart"/>
      <w:r w:rsidRPr="00467BC8">
        <w:rPr>
          <w:rFonts w:ascii="新細明體" w:eastAsia="新細明體" w:hAnsi="Kaiti TC" w:cs="Arial" w:hint="eastAsia"/>
          <w:color w:val="000000"/>
          <w:kern w:val="0"/>
        </w:rPr>
        <w:t>之課責</w:t>
      </w:r>
      <w:proofErr w:type="gramEnd"/>
      <w:r w:rsidRPr="00467BC8">
        <w:rPr>
          <w:rFonts w:ascii="新細明體" w:eastAsia="新細明體" w:hAnsi="Kaiti TC" w:cs="Arial" w:hint="eastAsia"/>
          <w:color w:val="000000"/>
          <w:kern w:val="0"/>
        </w:rPr>
        <w:t>：須參加學術倫理課程至少六小時或限制指導。</w:t>
      </w:r>
    </w:p>
    <w:p w14:paraId="04B2CBB8" w14:textId="77777777" w:rsidR="00467BC8" w:rsidRPr="00467BC8" w:rsidRDefault="00467BC8" w:rsidP="00467BC8">
      <w:pPr>
        <w:widowControl/>
        <w:numPr>
          <w:ilvl w:val="0"/>
          <w:numId w:val="1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1E1E1E"/>
          <w:kern w:val="0"/>
        </w:rPr>
      </w:pPr>
      <w:r w:rsidRPr="00467BC8">
        <w:rPr>
          <w:rFonts w:ascii="新細明體" w:eastAsia="新細明體" w:hAnsi="Kaiti TC" w:cs="Arial" w:hint="eastAsia"/>
          <w:color w:val="1E1E1E"/>
          <w:kern w:val="0"/>
        </w:rPr>
        <w:t>指導教授</w:t>
      </w:r>
      <w:proofErr w:type="gramStart"/>
      <w:r w:rsidRPr="00467BC8">
        <w:rPr>
          <w:rFonts w:ascii="新細明體" w:eastAsia="新細明體" w:hAnsi="Kaiti TC" w:cs="Arial" w:hint="eastAsia"/>
          <w:color w:val="1E1E1E"/>
          <w:kern w:val="0"/>
        </w:rPr>
        <w:t>敦</w:t>
      </w:r>
      <w:proofErr w:type="gramEnd"/>
      <w:r w:rsidRPr="00467BC8">
        <w:rPr>
          <w:rFonts w:ascii="新細明體" w:eastAsia="新細明體" w:hAnsi="Kaiti TC" w:cs="Arial" w:hint="eastAsia"/>
          <w:color w:val="1E1E1E"/>
          <w:kern w:val="0"/>
        </w:rPr>
        <w:t>聘</w:t>
      </w:r>
    </w:p>
    <w:p w14:paraId="5A3E0F95" w14:textId="77777777" w:rsidR="00467BC8" w:rsidRPr="00467BC8" w:rsidRDefault="00467BC8" w:rsidP="00467BC8">
      <w:pPr>
        <w:widowControl/>
        <w:shd w:val="clear" w:color="auto" w:fill="FFFFFF"/>
        <w:ind w:left="840"/>
        <w:contextualSpacing/>
        <w:textAlignment w:val="baseline"/>
        <w:rPr>
          <w:rFonts w:ascii="新細明體" w:eastAsia="新細明體" w:hAnsi="Kaiti TC" w:cs="Arial"/>
          <w:color w:val="1E1E1E"/>
          <w:kern w:val="0"/>
        </w:rPr>
      </w:pPr>
      <w:r w:rsidRPr="00467BC8">
        <w:rPr>
          <w:rFonts w:ascii="新細明體" w:eastAsia="新細明體" w:hAnsi="Kaiti TC" w:cs="Arial" w:hint="eastAsia"/>
          <w:color w:val="1E1E1E"/>
          <w:kern w:val="0"/>
        </w:rPr>
        <w:t>本學程</w:t>
      </w:r>
      <w:r w:rsidRPr="00467BC8">
        <w:rPr>
          <w:rFonts w:ascii="新細明體" w:eastAsia="新細明體" w:hAnsi="Kaiti TC" w:cs="Arial" w:hint="eastAsia"/>
          <w:color w:val="000000"/>
          <w:kern w:val="0"/>
        </w:rPr>
        <w:t>可</w:t>
      </w:r>
      <w:proofErr w:type="gramStart"/>
      <w:r w:rsidRPr="00467BC8">
        <w:rPr>
          <w:rFonts w:ascii="新細明體" w:eastAsia="新細明體" w:hAnsi="Kaiti TC" w:cs="Arial" w:hint="eastAsia"/>
          <w:color w:val="1E1E1E"/>
          <w:kern w:val="0"/>
        </w:rPr>
        <w:t>採</w:t>
      </w:r>
      <w:proofErr w:type="gramEnd"/>
      <w:r w:rsidRPr="00467BC8">
        <w:rPr>
          <w:rFonts w:ascii="新細明體" w:eastAsia="新細明體" w:hAnsi="Kaiti TC" w:cs="Arial" w:hint="eastAsia"/>
          <w:color w:val="1E1E1E"/>
          <w:kern w:val="0"/>
        </w:rPr>
        <w:t>雙指導教授。主指導教授須為學程會議委員會中之教師，第二位指導教授以本校專任教師為原則，必要時經學程會議同意，得商請兼任教師共同指導之，指導教授須具備學位考試委員之資格。</w:t>
      </w:r>
    </w:p>
    <w:p w14:paraId="19E8BABF" w14:textId="77777777" w:rsidR="00467BC8" w:rsidRPr="00467BC8" w:rsidRDefault="00467BC8" w:rsidP="00467BC8">
      <w:pPr>
        <w:widowControl/>
        <w:numPr>
          <w:ilvl w:val="0"/>
          <w:numId w:val="4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1E1E1E"/>
          <w:kern w:val="0"/>
        </w:rPr>
      </w:pPr>
      <w:r w:rsidRPr="00467BC8">
        <w:rPr>
          <w:rFonts w:ascii="新細明體" w:eastAsia="新細明體" w:hAnsi="Kaiti TC" w:cs="Arial" w:hint="eastAsia"/>
          <w:color w:val="1E1E1E"/>
          <w:kern w:val="0"/>
        </w:rPr>
        <w:t>學生須</w:t>
      </w:r>
      <w:proofErr w:type="gramStart"/>
      <w:r w:rsidRPr="00467BC8">
        <w:rPr>
          <w:rFonts w:ascii="新細明體" w:eastAsia="新細明體" w:hAnsi="Kaiti TC" w:cs="Arial" w:hint="eastAsia"/>
          <w:color w:val="1E1E1E"/>
          <w:kern w:val="0"/>
        </w:rPr>
        <w:t>於碩一下</w:t>
      </w:r>
      <w:proofErr w:type="gramEnd"/>
      <w:r w:rsidRPr="00467BC8">
        <w:rPr>
          <w:rFonts w:ascii="新細明體" w:eastAsia="新細明體" w:hAnsi="Kaiti TC" w:cs="Arial" w:hint="eastAsia"/>
          <w:color w:val="1E1E1E"/>
          <w:kern w:val="0"/>
        </w:rPr>
        <w:t>學期期中考</w:t>
      </w:r>
      <w:proofErr w:type="gramStart"/>
      <w:r w:rsidRPr="00467BC8">
        <w:rPr>
          <w:rFonts w:ascii="新細明體" w:eastAsia="新細明體" w:hAnsi="Kaiti TC" w:cs="Arial" w:hint="eastAsia"/>
          <w:color w:val="1E1E1E"/>
          <w:kern w:val="0"/>
        </w:rPr>
        <w:t>週</w:t>
      </w:r>
      <w:proofErr w:type="gramEnd"/>
      <w:r w:rsidRPr="00467BC8">
        <w:rPr>
          <w:rFonts w:ascii="新細明體" w:eastAsia="新細明體" w:hAnsi="Kaiti TC" w:cs="Arial" w:hint="eastAsia"/>
          <w:color w:val="1E1E1E"/>
          <w:kern w:val="0"/>
        </w:rPr>
        <w:t>前提報主指導教授。</w:t>
      </w:r>
    </w:p>
    <w:p w14:paraId="1050EF48" w14:textId="77777777" w:rsidR="00467BC8" w:rsidRPr="00467BC8" w:rsidRDefault="00467BC8" w:rsidP="00467BC8">
      <w:pPr>
        <w:widowControl/>
        <w:numPr>
          <w:ilvl w:val="0"/>
          <w:numId w:val="4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1E1E1E"/>
          <w:kern w:val="0"/>
        </w:rPr>
      </w:pPr>
      <w:r w:rsidRPr="00467BC8">
        <w:rPr>
          <w:rFonts w:ascii="新細明體" w:eastAsia="新細明體" w:hAnsi="Kaiti TC" w:cs="Arial" w:hint="eastAsia"/>
          <w:color w:val="1E1E1E"/>
          <w:kern w:val="0"/>
        </w:rPr>
        <w:t>研究生因故需更換指導教授時，應以書面陳請原任、新任及系所主任同意，使得接受。</w:t>
      </w:r>
    </w:p>
    <w:p w14:paraId="0BF851FC" w14:textId="77777777" w:rsidR="00467BC8" w:rsidRPr="00467BC8" w:rsidRDefault="00467BC8" w:rsidP="00467BC8">
      <w:pPr>
        <w:widowControl/>
        <w:numPr>
          <w:ilvl w:val="0"/>
          <w:numId w:val="1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1E1E1E"/>
          <w:kern w:val="0"/>
        </w:rPr>
      </w:pPr>
      <w:r w:rsidRPr="00467BC8">
        <w:rPr>
          <w:rFonts w:ascii="新細明體" w:eastAsia="新細明體" w:hAnsi="Kaiti TC" w:cs="Arial" w:hint="eastAsia"/>
          <w:color w:val="1E1E1E"/>
          <w:kern w:val="0"/>
        </w:rPr>
        <w:t>修業年限之規定一般生為一至四年。</w:t>
      </w:r>
    </w:p>
    <w:p w14:paraId="506DE632" w14:textId="77777777" w:rsidR="00467BC8" w:rsidRPr="00467BC8" w:rsidRDefault="00467BC8" w:rsidP="00467BC8">
      <w:pPr>
        <w:widowControl/>
        <w:numPr>
          <w:ilvl w:val="0"/>
          <w:numId w:val="1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1E1E1E"/>
          <w:kern w:val="0"/>
        </w:rPr>
      </w:pPr>
      <w:r w:rsidRPr="00467BC8">
        <w:rPr>
          <w:rFonts w:ascii="新細明體" w:eastAsia="新細明體" w:hAnsi="Kaiti TC" w:cs="Arial" w:hint="eastAsia"/>
          <w:color w:val="1E1E1E"/>
          <w:kern w:val="0"/>
        </w:rPr>
        <w:t>畢業證書取得之規定</w:t>
      </w:r>
    </w:p>
    <w:p w14:paraId="2324E81A" w14:textId="77777777" w:rsidR="00467BC8" w:rsidRPr="00467BC8" w:rsidRDefault="00467BC8" w:rsidP="00467BC8">
      <w:pPr>
        <w:widowControl/>
        <w:shd w:val="clear" w:color="auto" w:fill="FFFFFF"/>
        <w:ind w:left="840"/>
        <w:contextualSpacing/>
        <w:textAlignment w:val="baseline"/>
        <w:rPr>
          <w:rFonts w:ascii="新細明體" w:eastAsia="新細明體" w:hAnsi="Kaiti TC" w:cs="Arial"/>
          <w:color w:val="1E1E1E"/>
          <w:kern w:val="0"/>
        </w:rPr>
      </w:pPr>
      <w:r w:rsidRPr="00467BC8">
        <w:rPr>
          <w:rFonts w:ascii="新細明體" w:eastAsia="新細明體" w:hAnsi="Kaiti TC" w:cs="Arial" w:hint="eastAsia"/>
          <w:color w:val="1E1E1E"/>
          <w:kern w:val="0"/>
        </w:rPr>
        <w:t>完成下列三項之認定程序始得授與</w:t>
      </w:r>
      <w:r w:rsidRPr="00467BC8">
        <w:rPr>
          <w:rFonts w:ascii="新細明體" w:eastAsia="新細明體" w:hAnsi="Kaiti TC" w:cs="Arial"/>
          <w:color w:val="1E1E1E"/>
          <w:kern w:val="0"/>
        </w:rPr>
        <w:t>數位創新</w:t>
      </w:r>
      <w:r w:rsidRPr="00467BC8">
        <w:rPr>
          <w:rFonts w:ascii="新細明體" w:eastAsia="新細明體" w:hAnsi="Kaiti TC" w:cs="Arial" w:hint="eastAsia"/>
          <w:color w:val="1E1E1E"/>
          <w:kern w:val="0"/>
        </w:rPr>
        <w:t>碩士學位與畢業證書</w:t>
      </w:r>
    </w:p>
    <w:p w14:paraId="59E9026A" w14:textId="77777777" w:rsidR="00467BC8" w:rsidRPr="00467BC8" w:rsidRDefault="00467BC8" w:rsidP="00467BC8">
      <w:pPr>
        <w:widowControl/>
        <w:numPr>
          <w:ilvl w:val="0"/>
          <w:numId w:val="5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1E1E1E"/>
          <w:kern w:val="0"/>
        </w:rPr>
      </w:pPr>
      <w:r w:rsidRPr="00467BC8">
        <w:rPr>
          <w:rFonts w:ascii="新細明體" w:eastAsia="新細明體" w:hAnsi="Kaiti TC" w:cs="Arial" w:hint="eastAsia"/>
          <w:color w:val="1E1E1E"/>
          <w:kern w:val="0"/>
        </w:rPr>
        <w:t>畢業資格最低標準之認定。</w:t>
      </w:r>
    </w:p>
    <w:p w14:paraId="5B0E7599" w14:textId="77777777" w:rsidR="00467BC8" w:rsidRPr="00467BC8" w:rsidRDefault="00467BC8" w:rsidP="00467BC8">
      <w:pPr>
        <w:widowControl/>
        <w:numPr>
          <w:ilvl w:val="0"/>
          <w:numId w:val="5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1E1E1E"/>
          <w:kern w:val="0"/>
        </w:rPr>
      </w:pPr>
      <w:r w:rsidRPr="00467BC8">
        <w:rPr>
          <w:rFonts w:ascii="新細明體" w:eastAsia="新細明體" w:hAnsi="Kaiti TC" w:cs="Arial" w:hint="eastAsia"/>
          <w:color w:val="1E1E1E"/>
          <w:kern w:val="0"/>
        </w:rPr>
        <w:t>論文程序完成之認定。</w:t>
      </w:r>
    </w:p>
    <w:p w14:paraId="54C2474C" w14:textId="77777777" w:rsidR="00467BC8" w:rsidRPr="00467BC8" w:rsidRDefault="00467BC8" w:rsidP="00467BC8">
      <w:pPr>
        <w:widowControl/>
        <w:numPr>
          <w:ilvl w:val="0"/>
          <w:numId w:val="5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1E1E1E"/>
          <w:kern w:val="0"/>
        </w:rPr>
      </w:pPr>
      <w:r w:rsidRPr="00467BC8">
        <w:rPr>
          <w:rFonts w:ascii="新細明體" w:eastAsia="新細明體" w:hAnsi="Kaiti TC" w:cs="Arial" w:hint="eastAsia"/>
          <w:color w:val="1E1E1E"/>
          <w:kern w:val="0"/>
        </w:rPr>
        <w:t>按本校規定辦理離校手續完成之認定。</w:t>
      </w:r>
    </w:p>
    <w:p w14:paraId="3C360AD9" w14:textId="77777777" w:rsidR="00467BC8" w:rsidRPr="00467BC8" w:rsidRDefault="00467BC8" w:rsidP="00467BC8">
      <w:pPr>
        <w:widowControl/>
        <w:numPr>
          <w:ilvl w:val="0"/>
          <w:numId w:val="1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本規定未盡事宜，悉依本校學位授予暨研究生學位考試辦法及學則等相關規定辦理。</w:t>
      </w:r>
    </w:p>
    <w:p w14:paraId="004AF151" w14:textId="77777777" w:rsidR="00467BC8" w:rsidRPr="00467BC8" w:rsidRDefault="00467BC8" w:rsidP="00467BC8">
      <w:pPr>
        <w:widowControl/>
        <w:numPr>
          <w:ilvl w:val="0"/>
          <w:numId w:val="1"/>
        </w:numPr>
        <w:shd w:val="clear" w:color="auto" w:fill="FFFFFF"/>
        <w:contextualSpacing/>
        <w:textAlignment w:val="baseline"/>
        <w:rPr>
          <w:rFonts w:ascii="新細明體" w:eastAsia="新細明體" w:hAnsi="Kaiti TC" w:cs="Arial"/>
          <w:color w:val="000000"/>
          <w:kern w:val="0"/>
        </w:rPr>
      </w:pPr>
      <w:r w:rsidRPr="00467BC8">
        <w:rPr>
          <w:rFonts w:ascii="新細明體" w:eastAsia="新細明體" w:hAnsi="Kaiti TC" w:cs="Arial" w:hint="eastAsia"/>
          <w:color w:val="000000"/>
          <w:kern w:val="0"/>
        </w:rPr>
        <w:t>本規定經學程、院</w:t>
      </w:r>
      <w:proofErr w:type="gramStart"/>
      <w:r w:rsidRPr="00467BC8">
        <w:rPr>
          <w:rFonts w:ascii="新細明體" w:eastAsia="新細明體" w:hAnsi="Kaiti TC" w:cs="Arial" w:hint="eastAsia"/>
          <w:color w:val="000000"/>
          <w:kern w:val="0"/>
        </w:rPr>
        <w:t>務</w:t>
      </w:r>
      <w:proofErr w:type="gramEnd"/>
      <w:r w:rsidRPr="00467BC8">
        <w:rPr>
          <w:rFonts w:ascii="新細明體" w:eastAsia="新細明體" w:hAnsi="Kaiti TC" w:cs="Arial" w:hint="eastAsia"/>
          <w:color w:val="000000"/>
          <w:kern w:val="0"/>
        </w:rPr>
        <w:t>會議通過後實施，修訂時亦同。</w:t>
      </w:r>
    </w:p>
    <w:p w14:paraId="561852AB" w14:textId="77777777" w:rsidR="00467BC8" w:rsidRPr="00467BC8" w:rsidRDefault="00467BC8" w:rsidP="00467BC8">
      <w:pPr>
        <w:widowControl/>
        <w:shd w:val="clear" w:color="auto" w:fill="FFFFFF"/>
        <w:spacing w:line="360" w:lineRule="atLeast"/>
        <w:textAlignment w:val="baseline"/>
        <w:rPr>
          <w:rFonts w:ascii="新細明體" w:eastAsia="新細明體" w:hAnsi="Kaiti TC" w:cs="Arial"/>
          <w:color w:val="1E1E1E"/>
          <w:kern w:val="0"/>
        </w:rPr>
      </w:pPr>
    </w:p>
    <w:p w14:paraId="019E34EF" w14:textId="5B4ECB5F" w:rsidR="005C634E" w:rsidRPr="00467BC8" w:rsidRDefault="005C634E" w:rsidP="00EE6AA6">
      <w:pPr>
        <w:rPr>
          <w:rFonts w:ascii="微軟正黑體" w:eastAsia="微軟正黑體" w:hAnsi="微軟正黑體" w:hint="eastAsia"/>
          <w:b/>
          <w:bCs/>
          <w:sz w:val="36"/>
          <w:szCs w:val="36"/>
        </w:rPr>
      </w:pPr>
    </w:p>
    <w:sectPr w:rsidR="005C634E" w:rsidRPr="00467BC8" w:rsidSect="002126D2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0AAD8" w14:textId="77777777" w:rsidR="00F147AC" w:rsidRDefault="00F147AC" w:rsidP="00467BC8">
      <w:r>
        <w:separator/>
      </w:r>
    </w:p>
  </w:endnote>
  <w:endnote w:type="continuationSeparator" w:id="0">
    <w:p w14:paraId="772E32D0" w14:textId="77777777" w:rsidR="00F147AC" w:rsidRDefault="00F147AC" w:rsidP="0046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3" w:usb1="10000000" w:usb2="00000000" w:usb3="00000000" w:csb0="80000001" w:csb1="00000000"/>
  </w:font>
  <w:font w:name="Kaiti TC">
    <w:altName w:val="﷽﷽﷽﷽﷽﷽﷽﷽"/>
    <w:charset w:val="88"/>
    <w:family w:val="auto"/>
    <w:pitch w:val="variable"/>
    <w:sig w:usb0="80000287" w:usb1="280F3C52" w:usb2="00000016" w:usb3="00000000" w:csb0="001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25172" w14:textId="77777777" w:rsidR="00F147AC" w:rsidRDefault="00F147AC" w:rsidP="00467BC8">
      <w:r>
        <w:separator/>
      </w:r>
    </w:p>
  </w:footnote>
  <w:footnote w:type="continuationSeparator" w:id="0">
    <w:p w14:paraId="69E20083" w14:textId="77777777" w:rsidR="00F147AC" w:rsidRDefault="00F147AC" w:rsidP="00467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3CB6"/>
    <w:multiLevelType w:val="hybridMultilevel"/>
    <w:tmpl w:val="A31616F8"/>
    <w:lvl w:ilvl="0" w:tplc="A8122B6C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1D6A46"/>
    <w:multiLevelType w:val="hybridMultilevel"/>
    <w:tmpl w:val="7C2ACAC4"/>
    <w:lvl w:ilvl="0" w:tplc="4F3AD63C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3DA76498"/>
    <w:multiLevelType w:val="hybridMultilevel"/>
    <w:tmpl w:val="7C2ACAC4"/>
    <w:lvl w:ilvl="0" w:tplc="4F3AD63C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5BCF62BE"/>
    <w:multiLevelType w:val="hybridMultilevel"/>
    <w:tmpl w:val="324840C8"/>
    <w:lvl w:ilvl="0" w:tplc="C804FF94">
      <w:start w:val="1"/>
      <w:numFmt w:val="taiwaneseCountingThousand"/>
      <w:lvlText w:val="%1、"/>
      <w:lvlJc w:val="left"/>
      <w:pPr>
        <w:ind w:left="1320" w:hanging="480"/>
      </w:pPr>
      <w:rPr>
        <w:rFonts w:hint="default"/>
        <w:b w:val="0"/>
        <w:bCs w:val="0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648E718B"/>
    <w:multiLevelType w:val="hybridMultilevel"/>
    <w:tmpl w:val="324840C8"/>
    <w:lvl w:ilvl="0" w:tplc="C804FF94">
      <w:start w:val="1"/>
      <w:numFmt w:val="taiwaneseCountingThousand"/>
      <w:lvlText w:val="%1、"/>
      <w:lvlJc w:val="left"/>
      <w:pPr>
        <w:ind w:left="1320" w:hanging="480"/>
      </w:pPr>
      <w:rPr>
        <w:rFonts w:hint="default"/>
        <w:b w:val="0"/>
        <w:bCs w:val="0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4E"/>
    <w:rsid w:val="00040C7C"/>
    <w:rsid w:val="001260EF"/>
    <w:rsid w:val="002126D2"/>
    <w:rsid w:val="00234548"/>
    <w:rsid w:val="00467BC8"/>
    <w:rsid w:val="005C634E"/>
    <w:rsid w:val="006631C4"/>
    <w:rsid w:val="008D3EBE"/>
    <w:rsid w:val="00D64AF4"/>
    <w:rsid w:val="00DA35C7"/>
    <w:rsid w:val="00EE6AA6"/>
    <w:rsid w:val="00F1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1EDF4"/>
  <w15:chartTrackingRefBased/>
  <w15:docId w15:val="{8CA2A28E-2483-3A40-B74C-5302C8E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7B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7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7B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mhfeng1214@gmail.com</dc:creator>
  <cp:keywords/>
  <dc:description/>
  <cp:lastModifiedBy>馮美琁(meihsuan)</cp:lastModifiedBy>
  <cp:revision>4</cp:revision>
  <cp:lastPrinted>2021-04-02T07:20:00Z</cp:lastPrinted>
  <dcterms:created xsi:type="dcterms:W3CDTF">2021-04-02T07:20:00Z</dcterms:created>
  <dcterms:modified xsi:type="dcterms:W3CDTF">2023-06-13T08:45:00Z</dcterms:modified>
</cp:coreProperties>
</file>